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Pr="006512A7" w:rsidRDefault="0039321F" w:rsidP="008565C6">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10/12-10/16</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0A4331" w:rsidRPr="000A4331" w:rsidRDefault="000A4331" w:rsidP="000A4331">
            <w:pPr>
              <w:spacing w:after="0" w:line="240" w:lineRule="auto"/>
            </w:pPr>
            <w:r>
              <w:t>MGSE9-12.A.SSE.2</w:t>
            </w:r>
          </w:p>
          <w:p w:rsidR="000A4331" w:rsidRPr="000A4331" w:rsidRDefault="000A4331" w:rsidP="000A4331">
            <w:pPr>
              <w:spacing w:after="0" w:line="240" w:lineRule="auto"/>
            </w:pPr>
            <w:r>
              <w:t>MGSE9-12.A.SSE.3a</w:t>
            </w:r>
          </w:p>
          <w:p w:rsidR="008565C6" w:rsidRPr="000A4331" w:rsidRDefault="000A4331" w:rsidP="000A4331">
            <w:pPr>
              <w:spacing w:after="0" w:line="240" w:lineRule="auto"/>
            </w:pPr>
            <w:r w:rsidRPr="000A4331">
              <w:t>MGSE9-12.REI.4</w:t>
            </w:r>
            <w:r w:rsidR="00013502">
              <w:t>b</w:t>
            </w:r>
          </w:p>
          <w:p w:rsidR="008565C6" w:rsidRPr="00AB6231" w:rsidRDefault="000A4331" w:rsidP="00AB623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Default="006A0722" w:rsidP="008E1745">
            <w:pPr>
              <w:spacing w:after="0" w:line="240" w:lineRule="auto"/>
              <w:rPr>
                <w:sz w:val="20"/>
                <w:szCs w:val="20"/>
              </w:rPr>
            </w:pP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3C1394">
            <w:pPr>
              <w:spacing w:after="0" w:line="240" w:lineRule="auto"/>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925C40">
            <w:pPr>
              <w:spacing w:after="0" w:line="240" w:lineRule="auto"/>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8565C6">
            <w:pPr>
              <w:spacing w:after="0" w:line="240" w:lineRule="auto"/>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915F60" w:rsidRPr="00C51662" w:rsidRDefault="00915F60" w:rsidP="008565C6">
            <w:pPr>
              <w:spacing w:after="0" w:line="240" w:lineRule="auto"/>
              <w:rPr>
                <w:sz w:val="20"/>
                <w:szCs w:val="20"/>
              </w:rPr>
            </w:pPr>
          </w:p>
        </w:tc>
      </w:tr>
      <w:tr w:rsidR="003C1394" w:rsidRPr="006512A7" w:rsidTr="00FF7733">
        <w:trPr>
          <w:trHeight w:val="2384"/>
        </w:trPr>
        <w:tc>
          <w:tcPr>
            <w:tcW w:w="2926"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Default="00013502" w:rsidP="00A95928">
            <w:pPr>
              <w:spacing w:after="0" w:line="240" w:lineRule="auto"/>
            </w:pPr>
            <w:r>
              <w:t>1</w:t>
            </w:r>
            <w:r w:rsidRPr="00013502">
              <w:rPr>
                <w:vertAlign w:val="superscript"/>
              </w:rPr>
              <w:t>st</w:t>
            </w:r>
            <w:r>
              <w:t xml:space="preserve"> – student surveys</w:t>
            </w:r>
          </w:p>
          <w:p w:rsidR="00976605" w:rsidRPr="00BA49DC" w:rsidRDefault="00976605" w:rsidP="00A95928">
            <w:pPr>
              <w:spacing w:after="0" w:line="240" w:lineRule="auto"/>
              <w:rPr>
                <w:b/>
              </w:rPr>
            </w:pPr>
            <w:r w:rsidRPr="00BA49DC">
              <w:rPr>
                <w:b/>
              </w:rPr>
              <w:t>Activating S</w:t>
            </w:r>
            <w:r w:rsidR="001C5DF8" w:rsidRPr="00BA49DC">
              <w:rPr>
                <w:b/>
              </w:rPr>
              <w:t>trategies:</w:t>
            </w:r>
          </w:p>
          <w:p w:rsidR="001C5DF8" w:rsidRPr="002B370A" w:rsidRDefault="00013502" w:rsidP="00A95928">
            <w:pPr>
              <w:spacing w:after="0" w:line="240" w:lineRule="auto"/>
              <w:rPr>
                <w:sz w:val="18"/>
              </w:rPr>
            </w:pPr>
            <w:r w:rsidRPr="002B370A">
              <w:rPr>
                <w:sz w:val="18"/>
              </w:rPr>
              <w:t>Multiplying polynomials</w:t>
            </w:r>
            <w:r w:rsidR="002B370A" w:rsidRPr="002B370A">
              <w:rPr>
                <w:sz w:val="18"/>
              </w:rPr>
              <w:t xml:space="preserve"> pre-test</w:t>
            </w:r>
          </w:p>
          <w:p w:rsidR="00013502" w:rsidRDefault="00013502" w:rsidP="00A95928">
            <w:pPr>
              <w:spacing w:after="0" w:line="240" w:lineRule="auto"/>
              <w:rPr>
                <w:b/>
              </w:rPr>
            </w:pPr>
            <w:r w:rsidRPr="00013502">
              <w:rPr>
                <w:b/>
              </w:rPr>
              <w:t xml:space="preserve">Lesson: </w:t>
            </w:r>
          </w:p>
          <w:p w:rsidR="00013502" w:rsidRDefault="00F41B9D" w:rsidP="00F41B9D">
            <w:pPr>
              <w:pStyle w:val="ListParagraph"/>
              <w:numPr>
                <w:ilvl w:val="0"/>
                <w:numId w:val="11"/>
              </w:numPr>
              <w:spacing w:after="0" w:line="240" w:lineRule="auto"/>
            </w:pPr>
            <w:r>
              <w:t>Factoring greatest common monomial Factor</w:t>
            </w:r>
          </w:p>
          <w:p w:rsidR="00F41B9D" w:rsidRDefault="00F41B9D" w:rsidP="00F41B9D">
            <w:pPr>
              <w:pStyle w:val="ListParagraph"/>
              <w:numPr>
                <w:ilvl w:val="0"/>
                <w:numId w:val="11"/>
              </w:numPr>
              <w:spacing w:after="0" w:line="240" w:lineRule="auto"/>
            </w:pPr>
            <w:r>
              <w:t>Difference of two Squares</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p>
          <w:p w:rsidR="006B3389" w:rsidRPr="006B3389" w:rsidRDefault="006B3389" w:rsidP="006B3389">
            <w:pPr>
              <w:pStyle w:val="ListParagraph"/>
              <w:numPr>
                <w:ilvl w:val="0"/>
                <w:numId w:val="12"/>
              </w:numPr>
              <w:spacing w:after="0" w:line="240" w:lineRule="auto"/>
              <w:rPr>
                <w:sz w:val="16"/>
              </w:rPr>
            </w:pPr>
            <w:r w:rsidRPr="006B3389">
              <w:rPr>
                <w:sz w:val="16"/>
              </w:rPr>
              <w:t>Factoring greatest common monomial Factor</w:t>
            </w:r>
          </w:p>
          <w:p w:rsidR="006B3389" w:rsidRPr="006B3389" w:rsidRDefault="006B3389" w:rsidP="006B3389">
            <w:pPr>
              <w:pStyle w:val="ListParagraph"/>
              <w:numPr>
                <w:ilvl w:val="0"/>
                <w:numId w:val="12"/>
              </w:numPr>
              <w:spacing w:after="0" w:line="240" w:lineRule="auto"/>
              <w:rPr>
                <w:sz w:val="16"/>
              </w:rPr>
            </w:pPr>
            <w:r w:rsidRPr="006B3389">
              <w:rPr>
                <w:sz w:val="16"/>
              </w:rPr>
              <w:t>Difference of two Squares</w:t>
            </w:r>
          </w:p>
          <w:p w:rsidR="001C5DF8" w:rsidRPr="008E1745" w:rsidRDefault="006B3389" w:rsidP="006B3389">
            <w:pPr>
              <w:pStyle w:val="ListParagraph"/>
              <w:numPr>
                <w:ilvl w:val="0"/>
                <w:numId w:val="12"/>
              </w:numPr>
              <w:spacing w:after="0" w:line="240" w:lineRule="auto"/>
            </w:pPr>
            <w:r>
              <w:t>Perfect trinomial squares</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p>
          <w:p w:rsidR="006B3389" w:rsidRPr="006B3389" w:rsidRDefault="006B3389" w:rsidP="006B3389">
            <w:pPr>
              <w:pStyle w:val="ListParagraph"/>
              <w:numPr>
                <w:ilvl w:val="0"/>
                <w:numId w:val="13"/>
              </w:numPr>
              <w:spacing w:after="0" w:line="240" w:lineRule="auto"/>
              <w:rPr>
                <w:sz w:val="16"/>
              </w:rPr>
            </w:pPr>
            <w:r w:rsidRPr="006B3389">
              <w:rPr>
                <w:sz w:val="16"/>
              </w:rPr>
              <w:t>Factoring greatest common monomial Factor</w:t>
            </w:r>
          </w:p>
          <w:p w:rsidR="006B3389" w:rsidRPr="006B3389" w:rsidRDefault="006B3389" w:rsidP="006B3389">
            <w:pPr>
              <w:pStyle w:val="ListParagraph"/>
              <w:numPr>
                <w:ilvl w:val="0"/>
                <w:numId w:val="13"/>
              </w:numPr>
              <w:spacing w:after="0" w:line="240" w:lineRule="auto"/>
              <w:rPr>
                <w:sz w:val="16"/>
              </w:rPr>
            </w:pPr>
            <w:r w:rsidRPr="006B3389">
              <w:rPr>
                <w:sz w:val="16"/>
              </w:rPr>
              <w:t>Difference of two Squares</w:t>
            </w:r>
          </w:p>
          <w:p w:rsidR="006B3389" w:rsidRPr="006B3389" w:rsidRDefault="006B3389" w:rsidP="006B3389">
            <w:pPr>
              <w:pStyle w:val="ListParagraph"/>
              <w:numPr>
                <w:ilvl w:val="0"/>
                <w:numId w:val="13"/>
              </w:numPr>
              <w:spacing w:after="0" w:line="240" w:lineRule="auto"/>
              <w:rPr>
                <w:sz w:val="16"/>
              </w:rPr>
            </w:pPr>
            <w:r w:rsidRPr="006B3389">
              <w:rPr>
                <w:sz w:val="16"/>
              </w:rPr>
              <w:t>Perfect trinomial squares</w:t>
            </w:r>
          </w:p>
          <w:p w:rsidR="001C5DF8" w:rsidRPr="008E1745" w:rsidRDefault="00836A95" w:rsidP="006B3389">
            <w:pPr>
              <w:pStyle w:val="ListParagraph"/>
              <w:numPr>
                <w:ilvl w:val="0"/>
                <w:numId w:val="13"/>
              </w:numPr>
              <w:spacing w:after="0" w:line="240" w:lineRule="auto"/>
            </w:pPr>
            <w:r>
              <w:t>Factoring trinomials with leading coefficient  of 1</w:t>
            </w: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p>
          <w:p w:rsidR="00836A95" w:rsidRPr="006B3389" w:rsidRDefault="00836A95" w:rsidP="00836A95">
            <w:pPr>
              <w:pStyle w:val="ListParagraph"/>
              <w:numPr>
                <w:ilvl w:val="0"/>
                <w:numId w:val="14"/>
              </w:numPr>
              <w:spacing w:after="0" w:line="240" w:lineRule="auto"/>
              <w:rPr>
                <w:sz w:val="16"/>
              </w:rPr>
            </w:pPr>
            <w:r w:rsidRPr="006B3389">
              <w:rPr>
                <w:sz w:val="16"/>
              </w:rPr>
              <w:t>Factoring greatest common monomial Factor</w:t>
            </w:r>
          </w:p>
          <w:p w:rsidR="00836A95" w:rsidRPr="006B3389" w:rsidRDefault="00836A95" w:rsidP="00836A95">
            <w:pPr>
              <w:pStyle w:val="ListParagraph"/>
              <w:numPr>
                <w:ilvl w:val="0"/>
                <w:numId w:val="14"/>
              </w:numPr>
              <w:spacing w:after="0" w:line="240" w:lineRule="auto"/>
              <w:rPr>
                <w:sz w:val="16"/>
              </w:rPr>
            </w:pPr>
            <w:r w:rsidRPr="006B3389">
              <w:rPr>
                <w:sz w:val="16"/>
              </w:rPr>
              <w:t>Difference of two Squares</w:t>
            </w:r>
          </w:p>
          <w:p w:rsidR="00836A95" w:rsidRPr="006B3389" w:rsidRDefault="00836A95" w:rsidP="00836A95">
            <w:pPr>
              <w:pStyle w:val="ListParagraph"/>
              <w:numPr>
                <w:ilvl w:val="0"/>
                <w:numId w:val="14"/>
              </w:numPr>
              <w:spacing w:after="0" w:line="240" w:lineRule="auto"/>
              <w:rPr>
                <w:sz w:val="16"/>
              </w:rPr>
            </w:pPr>
            <w:r w:rsidRPr="006B3389">
              <w:rPr>
                <w:sz w:val="16"/>
              </w:rPr>
              <w:t>Perfect trinomial squares</w:t>
            </w:r>
          </w:p>
          <w:p w:rsidR="00836A95" w:rsidRDefault="00836A95" w:rsidP="00836A95">
            <w:pPr>
              <w:pStyle w:val="ListParagraph"/>
              <w:numPr>
                <w:ilvl w:val="0"/>
                <w:numId w:val="14"/>
              </w:numPr>
              <w:spacing w:after="0" w:line="240" w:lineRule="auto"/>
              <w:rPr>
                <w:sz w:val="16"/>
              </w:rPr>
            </w:pPr>
            <w:r w:rsidRPr="00836A95">
              <w:rPr>
                <w:sz w:val="16"/>
              </w:rPr>
              <w:t>Factoring trinomials with leading coefficient  of 1</w:t>
            </w:r>
          </w:p>
          <w:p w:rsidR="00836A95" w:rsidRPr="00836A95" w:rsidRDefault="00836A95" w:rsidP="00836A95">
            <w:pPr>
              <w:pStyle w:val="ListParagraph"/>
              <w:numPr>
                <w:ilvl w:val="0"/>
                <w:numId w:val="14"/>
              </w:numPr>
              <w:spacing w:after="0" w:line="240" w:lineRule="auto"/>
            </w:pPr>
            <w:r>
              <w:t xml:space="preserve">Factoring trinomials </w:t>
            </w: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836A95" w:rsidRPr="006B3389" w:rsidRDefault="00836A95" w:rsidP="00836A95">
            <w:pPr>
              <w:pStyle w:val="ListParagraph"/>
              <w:numPr>
                <w:ilvl w:val="0"/>
                <w:numId w:val="15"/>
              </w:numPr>
              <w:spacing w:after="0" w:line="240" w:lineRule="auto"/>
              <w:rPr>
                <w:sz w:val="16"/>
              </w:rPr>
            </w:pPr>
            <w:r w:rsidRPr="006B3389">
              <w:rPr>
                <w:sz w:val="16"/>
              </w:rPr>
              <w:t>Factoring greatest common monomial Factor</w:t>
            </w:r>
          </w:p>
          <w:p w:rsidR="00836A95" w:rsidRPr="006B3389" w:rsidRDefault="00836A95" w:rsidP="00836A95">
            <w:pPr>
              <w:pStyle w:val="ListParagraph"/>
              <w:numPr>
                <w:ilvl w:val="0"/>
                <w:numId w:val="15"/>
              </w:numPr>
              <w:spacing w:after="0" w:line="240" w:lineRule="auto"/>
              <w:rPr>
                <w:sz w:val="16"/>
              </w:rPr>
            </w:pPr>
            <w:r w:rsidRPr="006B3389">
              <w:rPr>
                <w:sz w:val="16"/>
              </w:rPr>
              <w:t>Difference of two Squares</w:t>
            </w:r>
          </w:p>
          <w:p w:rsidR="00836A95" w:rsidRPr="006B3389" w:rsidRDefault="00836A95" w:rsidP="00836A95">
            <w:pPr>
              <w:pStyle w:val="ListParagraph"/>
              <w:numPr>
                <w:ilvl w:val="0"/>
                <w:numId w:val="15"/>
              </w:numPr>
              <w:spacing w:after="0" w:line="240" w:lineRule="auto"/>
              <w:rPr>
                <w:sz w:val="16"/>
              </w:rPr>
            </w:pPr>
            <w:r w:rsidRPr="006B3389">
              <w:rPr>
                <w:sz w:val="16"/>
              </w:rPr>
              <w:t>Perfect trinomial squares</w:t>
            </w:r>
          </w:p>
          <w:p w:rsidR="00836A95" w:rsidRDefault="00836A95" w:rsidP="00836A95">
            <w:pPr>
              <w:pStyle w:val="ListParagraph"/>
              <w:numPr>
                <w:ilvl w:val="0"/>
                <w:numId w:val="15"/>
              </w:numPr>
              <w:spacing w:after="0" w:line="240" w:lineRule="auto"/>
              <w:rPr>
                <w:sz w:val="16"/>
              </w:rPr>
            </w:pPr>
            <w:r w:rsidRPr="00836A95">
              <w:rPr>
                <w:sz w:val="16"/>
              </w:rPr>
              <w:t>Factoring trinomials with leading coefficient  of 1</w:t>
            </w:r>
          </w:p>
          <w:p w:rsidR="00836A95" w:rsidRPr="00836A95" w:rsidRDefault="00836A95" w:rsidP="00836A95">
            <w:pPr>
              <w:pStyle w:val="ListParagraph"/>
              <w:numPr>
                <w:ilvl w:val="0"/>
                <w:numId w:val="15"/>
              </w:numPr>
              <w:spacing w:after="0" w:line="240" w:lineRule="auto"/>
              <w:rPr>
                <w:sz w:val="16"/>
              </w:rPr>
            </w:pPr>
            <w:r w:rsidRPr="00836A95">
              <w:rPr>
                <w:sz w:val="16"/>
              </w:rPr>
              <w:t xml:space="preserve">Factoring trinomials </w:t>
            </w:r>
          </w:p>
          <w:p w:rsidR="008D7F16" w:rsidRPr="006512A7" w:rsidRDefault="008D7F16" w:rsidP="008D7F16">
            <w:pPr>
              <w:spacing w:after="0" w:line="240" w:lineRule="auto"/>
              <w:rPr>
                <w:b/>
              </w:rPr>
            </w:pPr>
            <w:r w:rsidRPr="006512A7">
              <w:rPr>
                <w:b/>
              </w:rPr>
              <w:t>Resource/Materials:</w:t>
            </w:r>
          </w:p>
          <w:p w:rsidR="00544F8D" w:rsidRDefault="00836A95" w:rsidP="00544F8D">
            <w:pPr>
              <w:spacing w:after="0" w:line="240" w:lineRule="auto"/>
            </w:pPr>
            <w:r w:rsidRPr="006B3389">
              <w:rPr>
                <w:sz w:val="16"/>
              </w:rPr>
              <w:t>Books, calculator, review WS</w:t>
            </w:r>
            <w:r>
              <w:rPr>
                <w:sz w:val="16"/>
              </w:rPr>
              <w:t>, task</w:t>
            </w:r>
          </w:p>
          <w:p w:rsidR="00AB6231" w:rsidRPr="00F7441A" w:rsidRDefault="00AB6231" w:rsidP="00AB6231">
            <w:pPr>
              <w:spacing w:after="0" w:line="240" w:lineRule="auto"/>
            </w:pP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AD4D3D">
            <w:pPr>
              <w:spacing w:after="0" w:line="240" w:lineRule="auto"/>
              <w:rPr>
                <w:i/>
                <w:sz w:val="18"/>
              </w:rPr>
            </w:pPr>
            <w:r w:rsidRPr="00AD4D3D">
              <w:rPr>
                <w:i/>
                <w:sz w:val="18"/>
              </w:rPr>
              <w:t>teacher selected groups teacher selected groups</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AD4D3D">
            <w:pPr>
              <w:spacing w:after="0" w:line="240" w:lineRule="auto"/>
            </w:pPr>
            <w:r w:rsidRPr="00AD4D3D">
              <w:rPr>
                <w:i/>
                <w:sz w:val="18"/>
              </w:rPr>
              <w:t>teacher selected groups teacher selected groups</w:t>
            </w:r>
            <w:r w:rsidRPr="00D139D9">
              <w:t xml:space="preserve">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AD4D3D">
            <w:pPr>
              <w:spacing w:after="0" w:line="240" w:lineRule="auto"/>
              <w:rPr>
                <w:rFonts w:ascii="Bell MT" w:hAnsi="Bell MT"/>
                <w:sz w:val="18"/>
                <w:szCs w:val="18"/>
              </w:rPr>
            </w:pPr>
            <w:r w:rsidRPr="00AD4D3D">
              <w:rPr>
                <w:i/>
                <w:sz w:val="18"/>
              </w:rPr>
              <w:t>teacher selected groups teacher selected groups</w:t>
            </w:r>
            <w:r w:rsidRPr="003C1AA7">
              <w:rPr>
                <w:rFonts w:ascii="Bell MT" w:hAnsi="Bell MT"/>
                <w:sz w:val="18"/>
                <w:szCs w:val="18"/>
              </w:rPr>
              <w:t xml:space="preserve">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AD4D3D">
            <w:pPr>
              <w:spacing w:after="0" w:line="240" w:lineRule="auto"/>
              <w:rPr>
                <w:sz w:val="18"/>
              </w:rPr>
            </w:pPr>
            <w:r w:rsidRPr="00AD4D3D">
              <w:rPr>
                <w:i/>
                <w:sz w:val="18"/>
              </w:rPr>
              <w:t>teacher selected groups teacher selected groups</w:t>
            </w:r>
            <w:r w:rsidRPr="00541789">
              <w:rPr>
                <w:sz w:val="18"/>
              </w:rPr>
              <w:t xml:space="preserve">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AD4D3D">
            <w:pPr>
              <w:spacing w:after="0" w:line="240" w:lineRule="auto"/>
              <w:rPr>
                <w:rFonts w:ascii="Bell MT" w:hAnsi="Bell MT"/>
                <w:b/>
                <w:i/>
                <w:sz w:val="18"/>
                <w:szCs w:val="18"/>
              </w:rPr>
            </w:pPr>
            <w:r w:rsidRPr="00AD4D3D">
              <w:rPr>
                <w:i/>
                <w:sz w:val="18"/>
              </w:rPr>
              <w:t>teacher selected groups teacher selected groups</w:t>
            </w:r>
            <w:r w:rsidRPr="00FD07BD">
              <w:rPr>
                <w:rFonts w:ascii="Bell MT" w:hAnsi="Bell MT"/>
                <w:b/>
                <w:i/>
                <w:sz w:val="18"/>
                <w:szCs w:val="18"/>
              </w:rPr>
              <w:t xml:space="preserve">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lastRenderedPageBreak/>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AD4D3D">
            <w:pPr>
              <w:spacing w:after="0" w:line="240" w:lineRule="auto"/>
            </w:pPr>
            <w:r w:rsidRPr="00AD4D3D">
              <w:t>S</w:t>
            </w:r>
            <w:r>
              <w:t xml:space="preserve">ummative: Chapter 8 Vocabulary </w:t>
            </w:r>
            <w:r w:rsidRPr="00AD4D3D">
              <w:t>Quiz</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2B370A">
            <w:pPr>
              <w:spacing w:after="0" w:line="240" w:lineRule="auto"/>
              <w:rPr>
                <w:b/>
              </w:rPr>
            </w:pPr>
            <w:r w:rsidRPr="00AD4D3D">
              <w:t>S</w:t>
            </w:r>
            <w:r>
              <w:t>ummative</w:t>
            </w:r>
            <w:r>
              <w:t>:  Test 8.1-8.4</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2B370A">
            <w:pPr>
              <w:spacing w:after="0" w:line="240" w:lineRule="auto"/>
              <w:rPr>
                <w:rFonts w:ascii="Bell MT" w:hAnsi="Bell MT"/>
                <w:b/>
                <w:i/>
                <w:sz w:val="18"/>
                <w:szCs w:val="18"/>
              </w:rPr>
            </w:pPr>
            <w:r w:rsidRPr="00AD4D3D">
              <w:t>S</w:t>
            </w:r>
            <w:r>
              <w:t xml:space="preserve">ummative: Chapter 8 Vocabulary </w:t>
            </w:r>
            <w:r w:rsidRPr="00AD4D3D">
              <w:t>Quiz</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2B370A">
            <w:pPr>
              <w:spacing w:after="0" w:line="240" w:lineRule="auto"/>
              <w:rPr>
                <w:b/>
              </w:rPr>
            </w:pPr>
            <w:r w:rsidRPr="00AD4D3D">
              <w:t>S</w:t>
            </w:r>
            <w:r>
              <w:t xml:space="preserve">ummative: Chapter 8 Vocabulary </w:t>
            </w:r>
            <w:r w:rsidRPr="00AD4D3D">
              <w:t>Quiz</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2B370A">
            <w:pPr>
              <w:spacing w:after="0" w:line="240" w:lineRule="auto"/>
              <w:rPr>
                <w:b/>
              </w:rPr>
            </w:pPr>
            <w:r w:rsidRPr="00AD4D3D">
              <w:t>S</w:t>
            </w:r>
            <w:r>
              <w:t xml:space="preserve">ummative: Chapter 8 Vocabulary </w:t>
            </w:r>
            <w:r w:rsidRPr="00AD4D3D">
              <w:t>Quiz</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DE2ED5" w:rsidRDefault="00AD4D3D" w:rsidP="00FC20FD">
            <w:pPr>
              <w:spacing w:after="0" w:line="240" w:lineRule="auto"/>
            </w:pPr>
            <w:r>
              <w:t xml:space="preserve">8.8, pg. 519, </w:t>
            </w:r>
            <w:r w:rsidR="002B370A">
              <w:t>15-43, 48-55 all</w:t>
            </w:r>
          </w:p>
          <w:p w:rsidR="002B370A" w:rsidRPr="003C1394" w:rsidRDefault="002B370A" w:rsidP="00FC20FD">
            <w:pPr>
              <w:spacing w:after="0" w:line="240" w:lineRule="auto"/>
            </w:pP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2B370A" w:rsidP="00FF7733">
            <w:pPr>
              <w:spacing w:after="0" w:line="240" w:lineRule="auto"/>
            </w:pPr>
            <w:r>
              <w:t>8.9, pg. 526, 12-43, 49, 50</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2B370A" w:rsidP="00544F8D">
            <w:pPr>
              <w:spacing w:after="0" w:line="240" w:lineRule="auto"/>
            </w:pPr>
            <w:r>
              <w:t>8.6, pg. 507, 12-29, 33-40, 42-45</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FF7733">
            <w:pPr>
              <w:spacing w:after="0" w:line="240" w:lineRule="auto"/>
            </w:pPr>
            <w:r>
              <w:t xml:space="preserve"> </w:t>
            </w:r>
            <w:r w:rsidR="002B370A">
              <w:t>8.7, pg. 513, 10-28,32-37, 40</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2B370A" w:rsidP="00CD4329">
            <w:pPr>
              <w:spacing w:after="0" w:line="240" w:lineRule="auto"/>
            </w:pPr>
            <w:r>
              <w:t>WS:  All types of factoring</w:t>
            </w:r>
          </w:p>
        </w:tc>
      </w:tr>
    </w:tbl>
    <w:p w:rsidR="000A4331" w:rsidRDefault="005E06CA">
      <w:r>
        <w:t xml:space="preserve">Resources and </w:t>
      </w:r>
      <w:r w:rsidR="00BA49DC">
        <w:t xml:space="preserve">Reflective </w:t>
      </w:r>
      <w:r>
        <w:t>Notes:</w:t>
      </w:r>
      <w:r w:rsidR="002B370A">
        <w:t xml:space="preserve">  Tuesday and Thursday factoring games.  Grouping based on the pre-test.</w:t>
      </w:r>
      <w:bookmarkStart w:id="0" w:name="_GoBack"/>
      <w:bookmarkEnd w:id="0"/>
    </w:p>
    <w:p w:rsidR="000A4331" w:rsidRDefault="000A4331">
      <w:pPr>
        <w:spacing w:after="0" w:line="240" w:lineRule="auto"/>
      </w:pPr>
      <w:r>
        <w:br w:type="page"/>
      </w:r>
    </w:p>
    <w:p w:rsidR="000A4331" w:rsidRPr="000A4331" w:rsidRDefault="000A4331" w:rsidP="000A4331">
      <w:pPr>
        <w:pStyle w:val="Default"/>
        <w:jc w:val="center"/>
        <w:rPr>
          <w:sz w:val="28"/>
          <w:szCs w:val="28"/>
          <w:u w:val="single"/>
        </w:rPr>
      </w:pP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 xml:space="preserve">ESSENTIAL QUESTIONS </w:t>
      </w:r>
      <w:r>
        <w:rPr>
          <w:b/>
          <w:bCs/>
          <w:sz w:val="28"/>
          <w:szCs w:val="28"/>
        </w:rPr>
        <w:t>–UNIT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p>
    <w:p w:rsidR="000A4331" w:rsidRDefault="000A4331" w:rsidP="000A4331">
      <w:r>
        <w:t>Polynomial</w:t>
      </w:r>
    </w:p>
    <w:p w:rsidR="000A4331" w:rsidRDefault="000A4331" w:rsidP="000A4331">
      <w:r>
        <w:t xml:space="preserve"> Binomial</w:t>
      </w:r>
    </w:p>
    <w:p w:rsidR="000A4331" w:rsidRDefault="000A4331" w:rsidP="000A4331">
      <w:r>
        <w:t>Trinomial</w:t>
      </w:r>
    </w:p>
    <w:p w:rsidR="000A4331" w:rsidRDefault="000A4331" w:rsidP="000A4331">
      <w:r>
        <w:t>Degree of a monomial</w:t>
      </w:r>
    </w:p>
    <w:p w:rsidR="000A4331" w:rsidRDefault="000A4331" w:rsidP="000A4331">
      <w:r>
        <w:t>Degree of a polynomial</w:t>
      </w:r>
    </w:p>
    <w:p w:rsidR="000A4331" w:rsidRDefault="000A4331" w:rsidP="000A4331">
      <w:r>
        <w:t>Standard form of a polynomial</w:t>
      </w:r>
    </w:p>
    <w:p w:rsidR="000A4331" w:rsidRDefault="000A4331" w:rsidP="000A4331">
      <w:r>
        <w:t>Leading coefficient</w:t>
      </w:r>
    </w:p>
    <w:p w:rsidR="000A4331" w:rsidRDefault="000A4331" w:rsidP="000A4331">
      <w:r>
        <w:t>FOIL method</w:t>
      </w:r>
    </w:p>
    <w:p w:rsidR="000A4331" w:rsidRDefault="000A4331" w:rsidP="000A4331">
      <w:r>
        <w:t>Quadratic expression</w:t>
      </w:r>
    </w:p>
    <w:p w:rsidR="000A4331" w:rsidRDefault="000A4331" w:rsidP="000A4331">
      <w:r>
        <w:t>Factoring</w:t>
      </w:r>
    </w:p>
    <w:p w:rsidR="000A4331" w:rsidRDefault="000A4331" w:rsidP="000A4331">
      <w:r>
        <w:t>Factoring by grouping</w:t>
      </w:r>
    </w:p>
    <w:p w:rsidR="000A4331" w:rsidRDefault="000A4331" w:rsidP="000A4331">
      <w:r>
        <w:t>Zero product property</w:t>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52" w:rsidRDefault="00884652" w:rsidP="0039321F">
      <w:pPr>
        <w:spacing w:after="0" w:line="240" w:lineRule="auto"/>
      </w:pPr>
      <w:r>
        <w:separator/>
      </w:r>
    </w:p>
  </w:endnote>
  <w:endnote w:type="continuationSeparator" w:id="0">
    <w:p w:rsidR="00884652" w:rsidRDefault="0088465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52" w:rsidRDefault="00884652" w:rsidP="0039321F">
      <w:pPr>
        <w:spacing w:after="0" w:line="240" w:lineRule="auto"/>
      </w:pPr>
      <w:r>
        <w:separator/>
      </w:r>
    </w:p>
  </w:footnote>
  <w:footnote w:type="continuationSeparator" w:id="0">
    <w:p w:rsidR="00884652" w:rsidRDefault="0088465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3"/>
  </w:num>
  <w:num w:numId="6">
    <w:abstractNumId w:val="9"/>
  </w:num>
  <w:num w:numId="7">
    <w:abstractNumId w:val="4"/>
  </w:num>
  <w:num w:numId="8">
    <w:abstractNumId w:val="0"/>
  </w:num>
  <w:num w:numId="9">
    <w:abstractNumId w:val="14"/>
  </w:num>
  <w:num w:numId="10">
    <w:abstractNumId w:val="11"/>
  </w:num>
  <w:num w:numId="11">
    <w:abstractNumId w:val="8"/>
  </w:num>
  <w:num w:numId="12">
    <w:abstractNumId w:val="7"/>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82B21"/>
    <w:rsid w:val="0039321F"/>
    <w:rsid w:val="00394982"/>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77CEE"/>
    <w:rsid w:val="008823B9"/>
    <w:rsid w:val="00884652"/>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D4D3D"/>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B1DE4"/>
    <w:rsid w:val="00DC2928"/>
    <w:rsid w:val="00DC73F7"/>
    <w:rsid w:val="00DD5F98"/>
    <w:rsid w:val="00DE2ED5"/>
    <w:rsid w:val="00DE6A03"/>
    <w:rsid w:val="00DF3E2E"/>
    <w:rsid w:val="00E07B3A"/>
    <w:rsid w:val="00E54E35"/>
    <w:rsid w:val="00E94B84"/>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2015-10-12T04:15:00Z</dcterms:created>
  <dcterms:modified xsi:type="dcterms:W3CDTF">2015-10-12T04:15:00Z</dcterms:modified>
</cp:coreProperties>
</file>